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30" w:rsidRDefault="00043630" w:rsidP="0004363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Управление здравоохранения Липецкой области сообщает, что вирусологической лабораторией ФБУЗ «Центр гигиены и эпидемиологии в Липецкой области» в сентябре 2019 года проведены исследования клинического материала, представленного медицинскими организациями Липецкой области от 150 пациентов.</w:t>
      </w:r>
    </w:p>
    <w:p w:rsidR="00043630" w:rsidRDefault="00043630" w:rsidP="0004363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Проведенные исследования в 5 возрастно-социальных группах населения области выявили, что удельный вес 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серонегативных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составил к актуальным в сезон 2019-2020гг. штаммам вирусов гриппа: </w:t>
      </w:r>
      <w:r>
        <w:rPr>
          <w:rStyle w:val="a3"/>
          <w:rFonts w:ascii="Arial" w:hAnsi="Arial" w:cs="Arial"/>
          <w:color w:val="000000"/>
          <w:sz w:val="21"/>
          <w:szCs w:val="21"/>
        </w:rPr>
        <w:t>А(H1N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1)pdm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09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Брисбен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- 46%</w:t>
      </w:r>
      <w:r>
        <w:rPr>
          <w:rFonts w:ascii="Arial" w:hAnsi="Arial" w:cs="Arial"/>
          <w:color w:val="000000"/>
          <w:sz w:val="21"/>
          <w:szCs w:val="21"/>
        </w:rPr>
        <w:t>, к </w:t>
      </w:r>
      <w:r>
        <w:rPr>
          <w:rStyle w:val="a3"/>
          <w:rFonts w:ascii="Arial" w:hAnsi="Arial" w:cs="Arial"/>
          <w:color w:val="000000"/>
          <w:sz w:val="21"/>
          <w:szCs w:val="21"/>
        </w:rPr>
        <w:t>А(H3N2)Канзас – 68,7</w:t>
      </w:r>
      <w:r>
        <w:rPr>
          <w:rFonts w:ascii="Arial" w:hAnsi="Arial" w:cs="Arial"/>
          <w:color w:val="000000"/>
          <w:sz w:val="21"/>
          <w:szCs w:val="21"/>
        </w:rPr>
        <w:t>%, к </w:t>
      </w:r>
      <w:r>
        <w:rPr>
          <w:rStyle w:val="a3"/>
          <w:rFonts w:ascii="Arial" w:hAnsi="Arial" w:cs="Arial"/>
          <w:color w:val="000000"/>
          <w:sz w:val="21"/>
          <w:szCs w:val="21"/>
        </w:rPr>
        <w:t>В/Колорадо</w:t>
      </w:r>
      <w:r>
        <w:rPr>
          <w:rFonts w:ascii="Arial" w:hAnsi="Arial" w:cs="Arial"/>
          <w:color w:val="000000"/>
          <w:sz w:val="21"/>
          <w:szCs w:val="21"/>
        </w:rPr>
        <w:t> (линия B/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Victoria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/2/87) - </w:t>
      </w:r>
      <w:r>
        <w:rPr>
          <w:rStyle w:val="a3"/>
          <w:rFonts w:ascii="Arial" w:hAnsi="Arial" w:cs="Arial"/>
          <w:color w:val="000000"/>
          <w:sz w:val="21"/>
          <w:szCs w:val="21"/>
        </w:rPr>
        <w:t>69,3%,</w:t>
      </w:r>
      <w:r>
        <w:rPr>
          <w:rFonts w:ascii="Arial" w:hAnsi="Arial" w:cs="Arial"/>
          <w:color w:val="000000"/>
          <w:sz w:val="21"/>
          <w:szCs w:val="21"/>
        </w:rPr>
        <w:t> к </w:t>
      </w:r>
      <w:r>
        <w:rPr>
          <w:rStyle w:val="a3"/>
          <w:rFonts w:ascii="Arial" w:hAnsi="Arial" w:cs="Arial"/>
          <w:color w:val="000000"/>
          <w:sz w:val="21"/>
          <w:szCs w:val="21"/>
        </w:rPr>
        <w:t>В/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Пхукет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(линия B/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Yamagata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/16/88) – </w:t>
      </w:r>
      <w:r>
        <w:rPr>
          <w:rStyle w:val="a3"/>
          <w:rFonts w:ascii="Arial" w:hAnsi="Arial" w:cs="Arial"/>
          <w:color w:val="000000"/>
          <w:sz w:val="21"/>
          <w:szCs w:val="21"/>
        </w:rPr>
        <w:t>89%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43630" w:rsidRDefault="00043630" w:rsidP="0004363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Полученные результаты свидетельствуют </w:t>
      </w:r>
      <w:r>
        <w:rPr>
          <w:rStyle w:val="a3"/>
          <w:rFonts w:ascii="Arial" w:hAnsi="Arial" w:cs="Arial"/>
          <w:color w:val="000000"/>
          <w:sz w:val="21"/>
          <w:szCs w:val="21"/>
        </w:rPr>
        <w:t>о высокой вероятности развития в области эпидемии гриппа</w:t>
      </w:r>
      <w:r>
        <w:rPr>
          <w:rFonts w:ascii="Arial" w:hAnsi="Arial" w:cs="Arial"/>
          <w:color w:val="000000"/>
          <w:sz w:val="21"/>
          <w:szCs w:val="21"/>
        </w:rPr>
        <w:t xml:space="preserve">, обусловленной вирусами типов А(H3N2) и В, а также о наличии широкой прослойки лиц с высоким риском развития тяжелых форм заболевания,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летального исхода, обусловленных вирусом гриппа A(H1N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1)pdm</w:t>
      </w:r>
      <w:proofErr w:type="gramEnd"/>
      <w:r>
        <w:rPr>
          <w:rFonts w:ascii="Arial" w:hAnsi="Arial" w:cs="Arial"/>
          <w:color w:val="000000"/>
          <w:sz w:val="21"/>
          <w:szCs w:val="21"/>
        </w:rPr>
        <w:t>09.</w:t>
      </w:r>
    </w:p>
    <w:p w:rsidR="00043630" w:rsidRDefault="00043630" w:rsidP="0004363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прогнозу Национального центра по гриппу в России в текущем сезоне 2019-2020гг. ожидается большая активность вирусов гриппа А(H3N2) и вируса гриппа В (линии В/Виктория), что подтверждается данными мировой сети наблюдения за вирусами гриппа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FluNet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 преобладающих в циркуляции вирусах гриппа в настоящее время.</w:t>
      </w:r>
    </w:p>
    <w:p w:rsidR="00043630" w:rsidRDefault="00043630" w:rsidP="0004363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проведение прививок против гриппа является жизненно необходимой мерой обеспечения эпидемиологического благополучия населения области. Как показал опыт предыдущего сезона, охват иммунизацией более 45% населения области в сочетании с комплексом ограничительных мероприятий способен удержать заболеваемость гриппом и ОРВИ на неэпидемическом уровне.</w:t>
      </w:r>
    </w:p>
    <w:p w:rsidR="00810703" w:rsidRDefault="00810703">
      <w:bookmarkStart w:id="0" w:name="_GoBack"/>
      <w:bookmarkEnd w:id="0"/>
    </w:p>
    <w:sectPr w:rsidR="008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F"/>
    <w:rsid w:val="00043630"/>
    <w:rsid w:val="00810703"/>
    <w:rsid w:val="00F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384D-FD7E-46E4-803D-9EBCB5B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2019-10-22T08:24:00Z</dcterms:created>
  <dcterms:modified xsi:type="dcterms:W3CDTF">2019-10-22T08:25:00Z</dcterms:modified>
</cp:coreProperties>
</file>